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" w:lineRule="auto"/>
        <w:ind w:left="60" w:firstLine="0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Projet 01 - Compte rendu n°01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0" w:type="dxa"/>
        <w:jc w:val="left"/>
        <w:tblInd w:w="8.0" w:type="dxa"/>
        <w:tblLayout w:type="fixed"/>
        <w:tblLook w:val="0600"/>
      </w:tblPr>
      <w:tblGrid>
        <w:gridCol w:w="5730"/>
        <w:gridCol w:w="3295"/>
        <w:tblGridChange w:id="0">
          <w:tblGrid>
            <w:gridCol w:w="5730"/>
            <w:gridCol w:w="329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Chercher un projet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Quick Mirabeau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Présent(s) (retard/excusés/non excusés): Tous présents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Chef de projet : Jean-Yves Roda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Secrétaire : Jonas Boulanger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before="0" w:line="331" w:lineRule="auto"/>
              <w:ind w:left="108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Animateurs : Kelyan Druez-Philip, David Cossus, Jonatana Andriamasy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18/11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11h30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13h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Liste de diffusion 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bookmarkStart w:colFirst="0" w:colLast="0" w:name="_3znysh7" w:id="3"/>
      <w:bookmarkEnd w:id="3"/>
      <w:r w:rsidDel="00000000" w:rsidR="00000000" w:rsidRPr="00000000">
        <w:rPr>
          <w:i w:val="1"/>
          <w:sz w:val="20"/>
          <w:szCs w:val="20"/>
          <w:rtl w:val="0"/>
        </w:rPr>
        <w:t xml:space="preserve">Thèmes : Recherche de projet et tude de faisabilité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Trouver un projet et définir les ressources et limites du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Des idées de projet par les membres présents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Choix porté par vote à l’unanimité sur la mise en place de serveurs de jeux en ligne.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Risques organisationnels perçus par les employés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Kelyan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Organisation entre les membres de l’équipe égalitaire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Une part de boulot déjà fait avec le codage en java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Moyen de se faire de l’argent si le serveur devient populaire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" w:lineRule="auto"/>
        <w:contextualSpacing w:val="0"/>
      </w:pPr>
      <w:bookmarkStart w:colFirst="0" w:colLast="0" w:name="_4d34og8" w:id="8"/>
      <w:bookmarkEnd w:id="8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Ind w:w="8.0" w:type="dxa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Tout le groupe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23/11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13h-14h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Ordre du jour 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331" w:lineRule="auto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b w:val="1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1260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31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