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" w:lineRule="auto"/>
        <w:ind w:left="60" w:firstLine="0"/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Projet 01 - Compte rendu n°02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25.0" w:type="dxa"/>
        <w:jc w:val="left"/>
        <w:tblInd w:w="8.0" w:type="dxa"/>
        <w:tblLayout w:type="fixed"/>
        <w:tblLook w:val="0600"/>
      </w:tblPr>
      <w:tblGrid>
        <w:gridCol w:w="5730"/>
        <w:gridCol w:w="3295"/>
        <w:tblGridChange w:id="0">
          <w:tblGrid>
            <w:gridCol w:w="5730"/>
            <w:gridCol w:w="329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Définir la faisabilité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Présent(s) (retard/excusés/non excusés): Tous présents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Chef de projet : Jean-Yves Roda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Secrétaire : Jonas Boulanger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Animateurs : Kelyan Druez-Philip, David Cossus, Jonatana Andriamasy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23/11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13h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14h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Liste de diffusion 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Thèmes : Faisabilité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Objectifs : Voir ce qu’il faut faire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Explications techniques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Recherche de matériel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Mise en commun des compétences de chacun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Jean-Yves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On va toucher à beaucoup de langages différents et cela permettra de mettre en pratique ce que l’on apprend à l’IUT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Jean-Yves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Pour faire avancer le projet il serait intéressant d’avoir beaucoup d’ordinateurs à notre disposition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Equipe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Répartition officieuse des tâches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Documents additionnels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" w:lineRule="auto"/>
        <w:contextualSpacing w:val="0"/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Prochaine réunion</w:t>
      </w: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040.0" w:type="dxa"/>
        <w:jc w:val="left"/>
        <w:tblInd w:w="8.0" w:type="dxa"/>
        <w:tblLayout w:type="fixed"/>
        <w:tblLook w:val="0600"/>
      </w:tblPr>
      <w:tblGrid>
        <w:gridCol w:w="5740"/>
        <w:gridCol w:w="3300"/>
        <w:tblGridChange w:id="0">
          <w:tblGrid>
            <w:gridCol w:w="5740"/>
            <w:gridCol w:w="330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brief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Personnes convoquées: Tout le groupe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5/12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Heures de début et fin : 13h - 14h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rtl w:val="0"/>
              </w:rPr>
              <w:t xml:space="preserve">Ordre du jour : Faire un brief client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331" w:lineRule="auto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1080"/>
      </w:pPr>
      <w:rPr>
        <w:b w:val="1"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1260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331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