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line="331" w:lineRule="auto"/>
        <w:ind w:left="60" w:firstLine="0"/>
        <w:contextualSpacing w:val="0"/>
        <w:jc w:val="center"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Projet 01 - Compte rendu n°07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025.0" w:type="dxa"/>
        <w:jc w:val="left"/>
        <w:tblInd w:w="8.0" w:type="dxa"/>
        <w:tblLayout w:type="fixed"/>
        <w:tblLook w:val="0600"/>
      </w:tblPr>
      <w:tblGrid>
        <w:gridCol w:w="5730"/>
        <w:gridCol w:w="3295"/>
        <w:tblGridChange w:id="0">
          <w:tblGrid>
            <w:gridCol w:w="5730"/>
            <w:gridCol w:w="329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Synthèse finale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IUT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Présent(s) (retard/excusés/non excusés):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331" w:lineRule="auto"/>
              <w:ind w:left="720" w:firstLine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Chef de projet : Jean-Yves Roda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331" w:lineRule="auto"/>
              <w:ind w:left="720" w:firstLine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Secrétaire : Jonas Boulanger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331" w:lineRule="auto"/>
              <w:ind w:left="720" w:firstLine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Animateurs : Kelyan Druez-Philip, David Cossus, Jonatana Andriamasy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before="0" w:line="331" w:lineRule="auto"/>
              <w:ind w:left="108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16/12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début : 8h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fin : 10h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Liste de diffusion :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Ordre du jour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Thèmes : Tout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Objectifs : Faire un récapitulatif du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0" w:line="331" w:lineRule="auto"/>
        <w:ind w:left="720" w:hanging="360"/>
        <w:contextualSpacing w:val="1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Rappel de tout, réponses aux quelques questions </w:t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Sujets échangés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Type :                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In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formation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Re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marque </w:t>
        <w:tab/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Qu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estion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Dé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cision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Ch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oix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30"/>
        <w:gridCol w:w="6675"/>
        <w:tblGridChange w:id="0">
          <w:tblGrid>
            <w:gridCol w:w="1560"/>
            <w:gridCol w:w="1530"/>
            <w:gridCol w:w="66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990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Intervenant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Développement du sujet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3"/>
            <w:shd w:fill="efefef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Risques organisationnels perçus par les employés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l’équipe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on a plus rien à ajouter, toutes les informations dont nous avon besoin a déjà été collécté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Actions à suivre / To do list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Statut :               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 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n-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ours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ab/>
        <w:tab/>
        <w:t xml:space="preserve">ND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on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D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émarré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095.0" w:type="dxa"/>
        <w:jc w:val="left"/>
        <w:tblLayout w:type="fixed"/>
        <w:tblLook w:val="0600"/>
      </w:tblPr>
      <w:tblGrid>
        <w:gridCol w:w="885"/>
        <w:gridCol w:w="2700"/>
        <w:gridCol w:w="1680"/>
        <w:gridCol w:w="975"/>
        <w:gridCol w:w="900"/>
        <w:gridCol w:w="1125"/>
        <w:gridCol w:w="1830"/>
        <w:tblGridChange w:id="0">
          <w:tblGrid>
            <w:gridCol w:w="885"/>
            <w:gridCol w:w="2700"/>
            <w:gridCol w:w="1680"/>
            <w:gridCol w:w="975"/>
            <w:gridCol w:w="900"/>
            <w:gridCol w:w="1125"/>
            <w:gridCol w:w="1830"/>
          </w:tblGrid>
        </w:tblGridChange>
      </w:tblGrid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Sujet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b45f06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Date butoir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Livrable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134f5c"/>
                <w:rtl w:val="0"/>
              </w:rPr>
              <w:t xml:space="preserve">Validé par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Finir la fiche d’avant Projet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Documents additionnels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Aucun</w:t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bookmarkStart w:colFirst="0" w:colLast="0" w:name="_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</w:pPr>
      <w:r w:rsidDel="00000000" w:rsidR="00000000" w:rsidRPr="00000000">
        <w:rPr>
          <w:i w:val="1"/>
          <w:rtl w:val="0"/>
        </w:rPr>
        <w:t xml:space="preserve">En l’absence de remarques, ce CR sera considéré comme approuvé le XX/XX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="331" w:lineRule="auto"/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1080"/>
      </w:pPr>
      <w:rPr>
        <w:b w:val="1"/>
        <w:color w:val="0000ff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1260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331" w:lineRule="auto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Trebuchet MS" w:cs="Trebuchet MS" w:eastAsia="Trebuchet MS" w:hAnsi="Trebuchet MS"/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76" w:lineRule="auto"/>
    </w:pPr>
    <w:rPr>
      <w:rFonts w:ascii="Trebuchet MS" w:cs="Trebuchet MS" w:eastAsia="Trebuchet MS" w:hAnsi="Trebuchet MS"/>
      <w:b w:val="0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="276" w:lineRule="auto"/>
    </w:pPr>
    <w:rPr>
      <w:rFonts w:ascii="Trebuchet MS" w:cs="Trebuchet MS" w:eastAsia="Trebuchet MS" w:hAnsi="Trebuchet MS"/>
      <w:b w:val="0"/>
      <w:i w:val="1"/>
      <w:color w:val="666666"/>
      <w:sz w:val="26"/>
      <w:szCs w:val="26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